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lang w:val="zh-CN"/>
        </w:rPr>
        <w:id w:val="-841612298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>
          <w:pPr>
            <w:widowControl/>
            <w:spacing w:line="240" w:lineRule="auto"/>
            <w:ind w:firstLine="0" w:firstLineChars="0"/>
            <w:rPr>
              <w:rFonts w:hint="eastAsia"/>
              <w:lang w:val="en-US" w:eastAsia="zh-CN"/>
            </w:rPr>
          </w:pPr>
          <w:bookmarkStart w:id="0" w:name="_Toc466902662"/>
          <w:bookmarkStart w:id="1" w:name="_Toc422146028"/>
          <w:bookmarkStart w:id="2" w:name="_Toc20190"/>
          <w:r>
            <w:rPr>
              <w:rFonts w:hint="eastAsia"/>
              <w:lang w:val="en-US" w:eastAsia="zh-CN"/>
            </w:rPr>
            <w:t xml:space="preserve">     </w:t>
          </w:r>
        </w:p>
        <w:p>
          <w:pPr>
            <w:widowControl/>
            <w:spacing w:line="240" w:lineRule="auto"/>
            <w:ind w:left="0" w:leftChars="0" w:firstLine="522" w:firstLineChars="100"/>
            <w:rPr>
              <w:rFonts w:hint="eastAsia"/>
              <w:b/>
              <w:sz w:val="52"/>
              <w:szCs w:val="52"/>
              <w:lang w:val="en-US" w:eastAsia="zh-CN"/>
            </w:rPr>
          </w:pPr>
          <w:r>
            <w:rPr>
              <w:rFonts w:hint="eastAsia"/>
              <w:b/>
              <w:sz w:val="52"/>
              <w:szCs w:val="52"/>
              <w:lang w:val="en-US" w:eastAsia="zh-CN"/>
            </w:rPr>
            <w:t>投标保证金电子保函操作流程</w:t>
          </w:r>
        </w:p>
        <w:p>
          <w:pPr>
            <w:widowControl/>
            <w:spacing w:line="240" w:lineRule="auto"/>
            <w:ind w:firstLine="0" w:firstLineChars="0"/>
            <w:rPr>
              <w:rFonts w:hint="eastAsia"/>
              <w:b/>
              <w:sz w:val="52"/>
              <w:szCs w:val="52"/>
              <w:lang w:val="en-US" w:eastAsia="zh-CN"/>
            </w:rPr>
          </w:pPr>
        </w:p>
        <w:p>
          <w:pPr>
            <w:widowControl/>
            <w:spacing w:line="240" w:lineRule="auto"/>
            <w:ind w:firstLine="0" w:firstLineChars="0"/>
            <w:rPr>
              <w:rFonts w:hint="eastAsia"/>
              <w:b/>
              <w:sz w:val="52"/>
              <w:szCs w:val="52"/>
              <w:lang w:val="en-US" w:eastAsia="zh-CN"/>
            </w:rPr>
          </w:pPr>
        </w:p>
        <w:p>
          <w:pPr>
            <w:widowControl/>
            <w:spacing w:line="240" w:lineRule="auto"/>
            <w:ind w:firstLine="0" w:firstLineChars="0"/>
            <w:rPr>
              <w:rFonts w:hint="eastAsia"/>
              <w:b/>
              <w:sz w:val="52"/>
              <w:szCs w:val="52"/>
              <w:lang w:val="en-US" w:eastAsia="zh-CN"/>
            </w:rPr>
          </w:pPr>
        </w:p>
        <w:p>
          <w:pPr>
            <w:widowControl/>
            <w:spacing w:line="240" w:lineRule="auto"/>
            <w:ind w:firstLine="0" w:firstLineChars="0"/>
            <w:rPr>
              <w:rFonts w:hint="eastAsia"/>
              <w:b/>
              <w:sz w:val="52"/>
              <w:szCs w:val="52"/>
              <w:lang w:val="en-US" w:eastAsia="zh-CN"/>
            </w:rPr>
          </w:pPr>
        </w:p>
        <w:p>
          <w:pPr>
            <w:spacing w:line="240" w:lineRule="auto"/>
            <w:ind w:firstLine="0" w:firstLineChars="0"/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"_Toc23207" </w:instrText>
          </w:r>
          <w:r>
            <w:fldChar w:fldCharType="separate"/>
          </w:r>
          <w:r>
            <w:rPr>
              <w:rFonts w:hint="eastAsia"/>
            </w:rPr>
            <w:t>一、 系统前期准备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"_Toc9978"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1.1、 </w:t>
          </w:r>
          <w:r>
            <w:rPr>
              <w:rFonts w:hint="eastAsia"/>
            </w:rPr>
            <w:t>浏览器配置</w:t>
          </w:r>
          <w:r>
            <w:tab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"_Toc908" </w:instrText>
          </w:r>
          <w:r>
            <w:fldChar w:fldCharType="separate"/>
          </w:r>
          <w:r>
            <w:rPr>
              <w:rFonts w:hint="eastAsia"/>
            </w:rPr>
            <w:t>1.1.1、 Internet选项</w:t>
          </w:r>
          <w:r>
            <w:tab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"_Toc6759" </w:instrText>
          </w:r>
          <w:r>
            <w:fldChar w:fldCharType="separate"/>
          </w:r>
          <w:r>
            <w:rPr>
              <w:rFonts w:hint="eastAsia"/>
            </w:rPr>
            <w:t>1.1.2、 关闭拦截工具</w:t>
          </w:r>
          <w:r>
            <w:tab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"_Toc15509" </w:instrText>
          </w:r>
          <w:r>
            <w:fldChar w:fldCharType="separate"/>
          </w:r>
          <w:r>
            <w:rPr>
              <w:rFonts w:hint="eastAsia"/>
            </w:rPr>
            <w:t>二、 平台登录</w:t>
          </w:r>
          <w:r>
            <w:tab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"_Toc7294" </w:instrText>
          </w:r>
          <w:r>
            <w:fldChar w:fldCharType="separate"/>
          </w:r>
          <w:r>
            <w:rPr>
              <w:rFonts w:hint="eastAsia"/>
            </w:rPr>
            <w:t xml:space="preserve">三、 </w:t>
          </w:r>
          <w:r>
            <w:t>授信申请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"_Toc31066"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3.1、 </w:t>
          </w:r>
          <w:r>
            <w:rPr>
              <w:rFonts w:hint="eastAsia"/>
            </w:rPr>
            <w:t>完善企业信息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"_Toc15666"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3.2、 </w:t>
          </w:r>
          <w:r>
            <w:rPr>
              <w:rFonts w:hint="eastAsia"/>
            </w:rPr>
            <w:t>提交授信</w:t>
          </w:r>
          <w:r>
            <w:tab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"_Toc12753" </w:instrText>
          </w:r>
          <w:r>
            <w:fldChar w:fldCharType="separate"/>
          </w:r>
          <w:r>
            <w:rPr>
              <w:rFonts w:hint="eastAsia"/>
            </w:rPr>
            <w:t>四、 保函</w:t>
          </w:r>
          <w:r>
            <w:t>申请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"_Toc25899"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4.1、 </w:t>
          </w:r>
          <w:r>
            <w:rPr>
              <w:rFonts w:hint="eastAsia"/>
            </w:rPr>
            <w:t>标段选择及担保公司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"_Toc25194"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4.2、 </w:t>
          </w:r>
          <w:r>
            <w:rPr>
              <w:rFonts w:hint="eastAsia"/>
            </w:rPr>
            <w:t>经办人身份验证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"_Toc1012"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4.3、 </w:t>
          </w:r>
          <w:r>
            <w:rPr>
              <w:rFonts w:hint="eastAsia"/>
            </w:rPr>
            <w:t>申请信息确认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"_Toc30196"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4.4、 </w:t>
          </w:r>
          <w:r>
            <w:rPr>
              <w:rFonts w:hint="eastAsia"/>
            </w:rPr>
            <w:t>协议签订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"_Toc29898"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4.5、 </w:t>
          </w:r>
          <w:r>
            <w:rPr>
              <w:rFonts w:hint="eastAsia"/>
            </w:rPr>
            <w:t>保费支付</w:t>
          </w:r>
          <w:r>
            <w:tab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"_Toc12216"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4.6、 </w:t>
          </w:r>
          <w:r>
            <w:rPr>
              <w:rFonts w:hint="eastAsia"/>
            </w:rPr>
            <w:t>保函生成</w:t>
          </w:r>
          <w:r>
            <w:tab/>
          </w:r>
          <w:r>
            <w:fldChar w:fldCharType="end"/>
          </w:r>
        </w:p>
        <w:p>
          <w:pPr>
            <w:ind w:firstLine="0" w:firstLineChars="0"/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  <w:p>
          <w:pPr>
            <w:ind w:firstLine="0" w:firstLineChars="0"/>
            <w:rPr>
              <w:bCs/>
              <w:lang w:val="zh-CN"/>
            </w:rPr>
          </w:pPr>
        </w:p>
        <w:p>
          <w:pPr>
            <w:ind w:firstLine="0" w:firstLineChars="0"/>
            <w:rPr>
              <w:bCs/>
              <w:lang w:val="zh-CN"/>
            </w:rPr>
          </w:pPr>
        </w:p>
        <w:p>
          <w:pPr>
            <w:ind w:firstLine="0" w:firstLineChars="0"/>
            <w:rPr>
              <w:bCs/>
              <w:lang w:val="zh-CN"/>
            </w:rPr>
          </w:pPr>
        </w:p>
        <w:p>
          <w:pPr>
            <w:ind w:firstLine="0" w:firstLineChars="0"/>
            <w:rPr>
              <w:lang w:val="zh-CN"/>
            </w:rPr>
          </w:pPr>
          <w:bookmarkStart w:id="3" w:name="_Toc23207"/>
        </w:p>
        <w:p>
          <w:pPr>
            <w:ind w:firstLine="0" w:firstLineChars="0"/>
          </w:pPr>
        </w:p>
      </w:sdtContent>
    </w:sdt>
    <w:p>
      <w:pPr>
        <w:ind w:firstLine="0"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一、 系统前期准备</w:t>
      </w:r>
      <w:bookmarkEnd w:id="0"/>
      <w:bookmarkEnd w:id="1"/>
      <w:bookmarkEnd w:id="2"/>
      <w:bookmarkEnd w:id="3"/>
    </w:p>
    <w:p>
      <w:pPr>
        <w:pStyle w:val="3"/>
      </w:pPr>
      <w:bookmarkStart w:id="4" w:name="_Toc466902663"/>
      <w:bookmarkStart w:id="5" w:name="_Toc422146039"/>
      <w:bookmarkStart w:id="6" w:name="_Toc9978"/>
      <w:bookmarkStart w:id="7" w:name="_Toc387148289"/>
      <w:bookmarkStart w:id="8" w:name="_Toc387133154"/>
      <w:bookmarkStart w:id="9" w:name="_Toc346183639"/>
      <w:r>
        <w:rPr>
          <w:rFonts w:hint="eastAsia"/>
        </w:rPr>
        <w:t>浏览器配置</w:t>
      </w:r>
      <w:bookmarkEnd w:id="4"/>
      <w:bookmarkEnd w:id="5"/>
      <w:bookmarkEnd w:id="6"/>
      <w:bookmarkEnd w:id="7"/>
      <w:bookmarkEnd w:id="8"/>
      <w:bookmarkEnd w:id="9"/>
      <w:bookmarkStart w:id="37" w:name="_GoBack"/>
      <w:bookmarkEnd w:id="37"/>
    </w:p>
    <w:p>
      <w:pPr>
        <w:pStyle w:val="4"/>
      </w:pPr>
      <w:bookmarkStart w:id="10" w:name="_Toc387148290"/>
      <w:bookmarkStart w:id="11" w:name="_Toc346183640"/>
      <w:bookmarkStart w:id="12" w:name="_Toc466902664"/>
      <w:bookmarkStart w:id="13" w:name="_Toc908"/>
      <w:bookmarkStart w:id="14" w:name="_Toc387133155"/>
      <w:bookmarkStart w:id="15" w:name="_Toc422146040"/>
      <w:r>
        <w:rPr>
          <w:rFonts w:hint="eastAsia"/>
        </w:rPr>
        <w:t>Internet选项</w:t>
      </w:r>
      <w:bookmarkEnd w:id="10"/>
      <w:bookmarkEnd w:id="11"/>
      <w:bookmarkEnd w:id="12"/>
      <w:bookmarkEnd w:id="13"/>
      <w:bookmarkEnd w:id="14"/>
      <w:bookmarkEnd w:id="15"/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/>
          <w:spacing w:val="4"/>
        </w:rPr>
        <w:t>为了让系统插件能够正常工作，请按照以下步骤进行浏览器的配置。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1</w:t>
      </w:r>
      <w:r>
        <w:rPr>
          <w:rFonts w:hint="eastAsia" w:ascii="宋体" w:hAnsi="宋体"/>
          <w:spacing w:val="4"/>
        </w:rPr>
        <w:t>、打开浏览器，在</w:t>
      </w:r>
      <w:r>
        <w:rPr>
          <w:rFonts w:hint="eastAsia" w:ascii="宋体" w:hAnsi="宋体"/>
        </w:rPr>
        <w:t>“工</w:t>
      </w:r>
      <w:r>
        <w:rPr>
          <w:rFonts w:hint="eastAsia" w:ascii="宋体" w:hAnsi="宋体"/>
          <w:spacing w:val="4"/>
        </w:rPr>
        <w:t>具”菜单→“Internet选项”</w:t>
      </w:r>
    </w:p>
    <w:p>
      <w:pPr>
        <w:pStyle w:val="2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562985" cy="3148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2</w:t>
      </w:r>
      <w:r>
        <w:rPr>
          <w:rFonts w:hint="eastAsia" w:ascii="宋体" w:hAnsi="宋体"/>
          <w:spacing w:val="4"/>
        </w:rPr>
        <w:t>、弹出对话框之后，请选择“安全”选项卡，具体的界面如下图：</w:t>
      </w:r>
    </w:p>
    <w:p>
      <w:pPr>
        <w:pStyle w:val="2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2915920" cy="3476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rFonts w:hint="eastAsia" w:ascii="宋体" w:hAnsi="宋体"/>
          <w:spacing w:val="4"/>
        </w:rPr>
        <w:t>、点击绿色的“受信任的站点”的图片，会看到如下图所示的界面：</w:t>
      </w:r>
    </w:p>
    <w:p>
      <w:pPr>
        <w:pStyle w:val="2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200400" cy="38214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4</w:t>
      </w:r>
      <w:r>
        <w:rPr>
          <w:rFonts w:hint="eastAsia" w:ascii="宋体" w:hAnsi="宋体"/>
          <w:spacing w:val="4"/>
        </w:rPr>
        <w:t>、点击“站点” 按钮，出现如下对话框：</w:t>
      </w:r>
    </w:p>
    <w:p>
      <w:pPr>
        <w:pStyle w:val="26"/>
        <w:rPr>
          <w:rFonts w:hint="eastAsia" w:ascii="宋体" w:hAnsi="宋体" w:eastAsia="宋体"/>
          <w:lang w:eastAsia="zh-CN"/>
        </w:rPr>
      </w:pPr>
      <w:r>
        <w:drawing>
          <wp:inline distT="0" distB="0" distL="0" distR="0">
            <wp:extent cx="3088005" cy="3094990"/>
            <wp:effectExtent l="0" t="0" r="17145" b="10160"/>
            <wp:docPr id="54" name="图片 54" descr="C:\Users\admin\Desktop\微信图片_20181023162728.png微信图片_2018102316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\Desktop\微信图片_20181023162728.png微信图片_2018102316272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5</w:t>
      </w:r>
      <w:r>
        <w:rPr>
          <w:rFonts w:hint="eastAsia" w:ascii="宋体" w:hAnsi="宋体"/>
          <w:spacing w:val="4"/>
        </w:rPr>
        <w:t>、设置自定义安全级别，开放Activex的访问权限：</w:t>
      </w:r>
    </w:p>
    <w:p>
      <w:pPr>
        <w:pStyle w:val="2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373120" cy="4105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ind w:firstLineChars="0"/>
        <w:rPr>
          <w:rFonts w:ascii="宋体" w:hAnsi="宋体"/>
          <w:spacing w:val="4"/>
        </w:rPr>
      </w:pPr>
      <w:r>
        <w:rPr>
          <w:rFonts w:hint="eastAsia" w:ascii="宋体" w:hAnsi="宋体"/>
          <w:spacing w:val="4"/>
        </w:rPr>
        <w:t>会出现一个窗口，把其中的Activex控件和插件的设置全部改为启用。</w:t>
      </w:r>
    </w:p>
    <w:p>
      <w:pPr>
        <w:pStyle w:val="2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398520" cy="36315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 w:cs="宋体"/>
          <w:spacing w:val="4"/>
        </w:rPr>
        <w:t>②</w:t>
      </w:r>
      <w:r>
        <w:rPr>
          <w:rFonts w:hint="eastAsia" w:ascii="宋体" w:hAnsi="宋体"/>
          <w:spacing w:val="4"/>
        </w:rPr>
        <w:t>文件下载设置，开放文件下载的权限：设置为启用。</w:t>
      </w:r>
    </w:p>
    <w:p>
      <w:pPr>
        <w:pStyle w:val="26"/>
        <w:rPr>
          <w:rFonts w:ascii="宋体" w:hAnsi="宋体"/>
          <w:szCs w:val="21"/>
        </w:rPr>
      </w:pPr>
      <w:r>
        <w:rPr>
          <w:rFonts w:ascii="宋体" w:hAnsi="宋体"/>
        </w:rPr>
        <w:drawing>
          <wp:inline distT="0" distB="0" distL="0" distR="0">
            <wp:extent cx="3528060" cy="37096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pStyle w:val="4"/>
      </w:pPr>
      <w:bookmarkStart w:id="16" w:name="_Toc346183641"/>
      <w:bookmarkStart w:id="17" w:name="_Toc422146041"/>
      <w:bookmarkStart w:id="18" w:name="_Toc6759"/>
      <w:bookmarkStart w:id="19" w:name="_Toc387148291"/>
      <w:bookmarkStart w:id="20" w:name="_Toc466902665"/>
      <w:bookmarkStart w:id="21" w:name="_Toc387133156"/>
      <w:r>
        <w:rPr>
          <w:rFonts w:hint="eastAsia"/>
        </w:rPr>
        <w:t>关闭拦截工具</w:t>
      </w:r>
      <w:bookmarkEnd w:id="16"/>
      <w:bookmarkEnd w:id="17"/>
      <w:bookmarkEnd w:id="18"/>
      <w:bookmarkEnd w:id="19"/>
      <w:bookmarkEnd w:id="20"/>
      <w:bookmarkEnd w:id="21"/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/>
          <w:spacing w:val="4"/>
          <w:szCs w:val="22"/>
        </w:rPr>
        <w:t>上述操作完成后</w:t>
      </w:r>
      <w:r>
        <w:rPr>
          <w:rFonts w:hint="eastAsia" w:ascii="宋体" w:hAnsi="宋体"/>
          <w:spacing w:val="4"/>
        </w:rPr>
        <w:t>，如果系统中某些功能仍不能使用，请将拦截工具关闭再试用。比如在windows工具栏中关闭弹出窗口阻止程序的操作：</w:t>
      </w:r>
    </w:p>
    <w:p>
      <w:pPr>
        <w:pStyle w:val="26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098415" cy="232029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142"/>
          <w:tab w:val="clear" w:pos="425"/>
        </w:tabs>
      </w:pPr>
      <w:bookmarkStart w:id="22" w:name="_Toc15509"/>
      <w:r>
        <w:rPr>
          <w:rFonts w:hint="eastAsia"/>
        </w:rPr>
        <w:t>平台登录</w:t>
      </w:r>
      <w:bookmarkEnd w:id="22"/>
    </w:p>
    <w:p>
      <w:pPr>
        <w:widowControl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方式一：</w:t>
      </w:r>
      <w:r>
        <w:rPr>
          <w:rFonts w:hint="eastAsia"/>
        </w:rPr>
        <w:t>投标人通过CA锁登录交易平台后，通过交易平台的“</w:t>
      </w:r>
      <w:r>
        <w:rPr>
          <w:rFonts w:hint="eastAsia"/>
          <w:lang w:eastAsia="zh-CN"/>
        </w:rPr>
        <w:t>电子保函</w:t>
      </w:r>
      <w:r>
        <w:rPr>
          <w:rFonts w:hint="eastAsia"/>
        </w:rPr>
        <w:t>”</w:t>
      </w:r>
      <w:r>
        <w:rPr>
          <w:rFonts w:hint="eastAsia"/>
          <w:lang w:eastAsia="zh-CN"/>
        </w:rPr>
        <w:t>链接登录。</w:t>
      </w:r>
    </w:p>
    <w:p>
      <w:pPr>
        <w:widowControl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980690"/>
            <wp:effectExtent l="0" t="0" r="8890" b="10160"/>
            <wp:docPr id="8" name="图片 8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30" w:firstLineChars="3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方式二：</w:t>
      </w:r>
      <w:r>
        <w:rPr>
          <w:rFonts w:hint="eastAsia"/>
        </w:rPr>
        <w:t>投标人通过电子保函地址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"http://119.3.37.28:81/guyuan/" </w:instrText>
      </w:r>
      <w:r>
        <w:rPr>
          <w:rFonts w:hint="eastAsia"/>
        </w:rPr>
        <w:fldChar w:fldCharType="separate"/>
      </w:r>
      <w:r>
        <w:rPr>
          <w:rStyle w:val="14"/>
          <w:rFonts w:hint="eastAsia"/>
        </w:rPr>
        <w:t>http://119.3.37.28:81/guyuan/</w:t>
      </w:r>
      <w:r>
        <w:rPr>
          <w:rFonts w:hint="eastAsia"/>
        </w:rPr>
        <w:fldChar w:fldCharType="end"/>
      </w:r>
      <w:r>
        <w:rPr>
          <w:rFonts w:hint="eastAsia"/>
        </w:rPr>
        <w:t> 使用CA锁（交易系统中报名通用一把锁）</w:t>
      </w:r>
      <w:r>
        <w:rPr>
          <w:rFonts w:hint="eastAsia"/>
          <w:lang w:eastAsia="zh-CN"/>
        </w:rPr>
        <w:t>直接</w:t>
      </w:r>
      <w:r>
        <w:rPr>
          <w:rFonts w:hint="eastAsia"/>
        </w:rPr>
        <w:t>登录。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业务咨询热线：4001538889</w:t>
      </w:r>
      <w:r>
        <w:rPr>
          <w:rFonts w:hint="eastAsia"/>
          <w:lang w:eastAsia="zh-CN"/>
        </w:rPr>
        <w:t>）</w:t>
      </w:r>
    </w:p>
    <w:p>
      <w:pPr>
        <w:widowControl/>
        <w:ind w:firstLine="0" w:firstLineChars="0"/>
      </w:pPr>
      <w:r>
        <w:drawing>
          <wp:inline distT="0" distB="0" distL="114300" distR="114300">
            <wp:extent cx="5265420" cy="2638425"/>
            <wp:effectExtent l="0" t="0" r="11430" b="9525"/>
            <wp:docPr id="6" name="图片 1" descr="C:\Users\admin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\Desktop\5.jpg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3" w:name="_Toc511374921"/>
      <w:bookmarkStart w:id="24" w:name="_Toc7294"/>
      <w:r>
        <w:t>授信申请</w:t>
      </w:r>
      <w:bookmarkEnd w:id="23"/>
      <w:bookmarkEnd w:id="24"/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投标人在线申报授信主要包含两个步骤：完善企业信息——提交授信，授信审核通过后，投标人方可进行后续的保函申请流程。</w:t>
      </w:r>
    </w:p>
    <w:p>
      <w:pPr>
        <w:pStyle w:val="3"/>
      </w:pPr>
      <w:bookmarkStart w:id="25" w:name="_Toc31066"/>
      <w:r>
        <w:rPr>
          <w:rFonts w:hint="eastAsia"/>
        </w:rPr>
        <w:t>完善企业信息</w:t>
      </w:r>
      <w:bookmarkEnd w:id="25"/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投标人在登录电子保函平台后，保函平台会从交易平台获取企业的部分信息，</w:t>
      </w:r>
      <w:r>
        <w:rPr>
          <w:rFonts w:ascii="宋体" w:hAnsi="宋体"/>
          <w:szCs w:val="21"/>
        </w:rPr>
        <w:t>投标人在进行</w:t>
      </w:r>
      <w:r>
        <w:rPr>
          <w:rFonts w:hint="eastAsia" w:ascii="宋体" w:hAnsi="宋体"/>
          <w:szCs w:val="21"/>
        </w:rPr>
        <w:t>授信</w:t>
      </w:r>
      <w:r>
        <w:rPr>
          <w:rFonts w:ascii="宋体" w:hAnsi="宋体"/>
          <w:szCs w:val="21"/>
        </w:rPr>
        <w:t>申请前</w:t>
      </w:r>
      <w:r>
        <w:rPr>
          <w:rFonts w:hint="eastAsia" w:ascii="宋体" w:hAnsi="宋体"/>
          <w:szCs w:val="21"/>
        </w:rPr>
        <w:t>，需首先在“账户中心”——“修改企业信息”完善企业信息，包含统一社会信用代码、注册资本、注册地区、详细地址、法人姓名、法人身份证号、法人联系电话、经办人信息等，同时上传法人身份证复印件、企业营业执照等电子材料。</w:t>
      </w:r>
    </w:p>
    <w:p>
      <w:pPr>
        <w:ind w:firstLine="0" w:firstLineChars="0"/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72405" cy="2760980"/>
            <wp:effectExtent l="0" t="0" r="444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3348990"/>
            <wp:effectExtent l="0" t="0" r="10160" b="3810"/>
            <wp:docPr id="5" name="图片 3" descr="C:\Users\admin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\Desktop\2.png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 w:val="24"/>
        </w:rPr>
      </w:pPr>
    </w:p>
    <w:p>
      <w:pPr>
        <w:pStyle w:val="3"/>
      </w:pPr>
      <w:bookmarkStart w:id="26" w:name="_Toc15666"/>
      <w:r>
        <w:rPr>
          <w:rFonts w:hint="eastAsia"/>
        </w:rPr>
        <w:t>提交授信</w:t>
      </w:r>
      <w:bookmarkEnd w:id="26"/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在“授权申请”中查看当前电子保函平台的金融机构，选择需要授信的金融机构，发起授信申请，未完善企业信息无法提交授信申请。金融机构接受到授信申请后进行审核。</w:t>
      </w:r>
    </w:p>
    <w:p>
      <w:pPr>
        <w:ind w:firstLine="0" w:firstLineChars="0"/>
      </w:pPr>
      <w:r>
        <w:drawing>
          <wp:inline distT="0" distB="0" distL="0" distR="0">
            <wp:extent cx="5273040" cy="1800225"/>
            <wp:effectExtent l="0" t="0" r="381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650" cy="18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2931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7" w:name="_Toc12753"/>
      <w:bookmarkStart w:id="28" w:name="_Toc511374925"/>
      <w:r>
        <w:rPr>
          <w:rFonts w:hint="eastAsia"/>
        </w:rPr>
        <w:t>保函</w:t>
      </w:r>
      <w:r>
        <w:t>申请</w:t>
      </w:r>
      <w:bookmarkEnd w:id="27"/>
      <w:bookmarkEnd w:id="28"/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投标单位的授信申请审核通过后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可进行</w:t>
      </w:r>
      <w:r>
        <w:rPr>
          <w:rFonts w:hint="eastAsia" w:ascii="宋体" w:hAnsi="宋体"/>
          <w:szCs w:val="21"/>
        </w:rPr>
        <w:t>保函</w:t>
      </w:r>
      <w:r>
        <w:rPr>
          <w:rFonts w:ascii="宋体" w:hAnsi="宋体"/>
          <w:szCs w:val="21"/>
        </w:rPr>
        <w:t>申请</w:t>
      </w:r>
      <w:r>
        <w:rPr>
          <w:rFonts w:hint="eastAsia" w:ascii="宋体" w:hAnsi="宋体"/>
          <w:szCs w:val="21"/>
        </w:rPr>
        <w:t>，申请流程主要包含以下五个步骤：</w:t>
      </w:r>
    </w:p>
    <w:p>
      <w:pPr>
        <w:ind w:firstLine="0" w:firstLineChars="0"/>
      </w:pPr>
      <w:r>
        <w:drawing>
          <wp:inline distT="0" distB="0" distL="114300" distR="114300">
            <wp:extent cx="5265420" cy="710565"/>
            <wp:effectExtent l="0" t="0" r="1143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511374926"/>
      <w:bookmarkStart w:id="30" w:name="_Toc25899"/>
      <w:r>
        <w:rPr>
          <w:rFonts w:hint="eastAsia"/>
        </w:rPr>
        <w:t>标段选择</w:t>
      </w:r>
      <w:bookmarkEnd w:id="29"/>
      <w:r>
        <w:rPr>
          <w:rFonts w:hint="eastAsia"/>
        </w:rPr>
        <w:t>及担保公司</w:t>
      </w:r>
      <w:bookmarkEnd w:id="30"/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保函</w:t>
      </w:r>
      <w:r>
        <w:rPr>
          <w:rFonts w:ascii="宋体" w:hAnsi="宋体"/>
          <w:szCs w:val="21"/>
        </w:rPr>
        <w:t>平台</w:t>
      </w:r>
      <w:r>
        <w:rPr>
          <w:rFonts w:hint="eastAsia" w:ascii="宋体" w:hAnsi="宋体"/>
          <w:szCs w:val="21"/>
        </w:rPr>
        <w:t>展示当前时间所有未开标</w:t>
      </w:r>
      <w:r>
        <w:rPr>
          <w:rFonts w:hint="eastAsia" w:ascii="宋体" w:hAnsi="宋体"/>
          <w:szCs w:val="21"/>
          <w:lang w:val="en-US" w:eastAsia="zh-CN"/>
        </w:rPr>
        <w:t>且开标时间已经预约</w:t>
      </w:r>
      <w:r>
        <w:rPr>
          <w:rFonts w:hint="eastAsia" w:ascii="宋体" w:hAnsi="宋体"/>
          <w:szCs w:val="21"/>
        </w:rPr>
        <w:t>的标段，投标人选择相应的标段申请，系统自动检测投标人是否已报名该标段，如果未报名，则提示用户“该标段未报名”。</w:t>
      </w:r>
    </w:p>
    <w:p>
      <w:pPr>
        <w:ind w:firstLine="0" w:firstLineChars="0"/>
        <w:rPr>
          <w:rFonts w:ascii="宋体" w:hAnsi="宋体"/>
          <w:szCs w:val="21"/>
        </w:rPr>
      </w:pPr>
      <w:r>
        <w:drawing>
          <wp:inline distT="0" distB="0" distL="114300" distR="114300">
            <wp:extent cx="5271135" cy="3040380"/>
            <wp:effectExtent l="0" t="0" r="5715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投标人标段报名验证通过后，选择已授权的担保公司，确认收费标准。</w:t>
      </w:r>
    </w:p>
    <w:p>
      <w:pPr>
        <w:rPr>
          <w:rFonts w:ascii="宋体" w:hAnsi="宋体"/>
          <w:szCs w:val="21"/>
        </w:rPr>
      </w:pPr>
      <w:r>
        <w:drawing>
          <wp:inline distT="0" distB="0" distL="0" distR="0">
            <wp:extent cx="5218430" cy="2900045"/>
            <wp:effectExtent l="0" t="0" r="1270" b="14605"/>
            <wp:docPr id="26" name="图片 26" descr="C:\Users\admin\Desktop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Desktop\8.png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9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1" w:name="_Toc25194"/>
      <w:r>
        <w:rPr>
          <w:rFonts w:hint="eastAsia"/>
        </w:rPr>
        <w:t>经办人身份验证</w:t>
      </w:r>
      <w:bookmarkEnd w:id="31"/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填写经办人信息，获取验证码。</w:t>
      </w:r>
    </w:p>
    <w:p>
      <w:pPr>
        <w:rPr>
          <w:rFonts w:ascii="宋体" w:hAnsi="宋体"/>
          <w:szCs w:val="21"/>
        </w:rPr>
      </w:pPr>
      <w:r>
        <w:drawing>
          <wp:inline distT="0" distB="0" distL="114300" distR="114300">
            <wp:extent cx="5262880" cy="2576195"/>
            <wp:effectExtent l="0" t="0" r="13970" b="146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2" w:name="_Toc511374928"/>
      <w:bookmarkStart w:id="33" w:name="_Toc1012"/>
      <w:r>
        <w:rPr>
          <w:rFonts w:hint="eastAsia"/>
        </w:rPr>
        <w:t>申请</w:t>
      </w:r>
      <w:bookmarkEnd w:id="32"/>
      <w:r>
        <w:rPr>
          <w:rFonts w:hint="eastAsia"/>
        </w:rPr>
        <w:t>信息确认</w:t>
      </w:r>
      <w:bookmarkEnd w:id="33"/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确认投标担保函申请要约函信息。</w:t>
      </w:r>
    </w:p>
    <w:p>
      <w:pPr>
        <w:rPr>
          <w:rFonts w:ascii="宋体" w:hAnsi="宋体"/>
          <w:szCs w:val="21"/>
        </w:rPr>
      </w:pPr>
      <w:r>
        <w:drawing>
          <wp:inline distT="0" distB="0" distL="0" distR="0">
            <wp:extent cx="5274310" cy="3329940"/>
            <wp:effectExtent l="0" t="0" r="2540" b="3810"/>
            <wp:docPr id="33" name="图片 33" descr="C:\Users\admin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\Desktop\3.png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4" w:name="_Toc30196"/>
      <w:r>
        <w:rPr>
          <w:rFonts w:hint="eastAsia"/>
        </w:rPr>
        <w:t>协议签订</w:t>
      </w:r>
      <w:bookmarkEnd w:id="34"/>
    </w:p>
    <w:p>
      <w:r>
        <w:t>内容确认同意之后，</w:t>
      </w:r>
      <w:r>
        <w:rPr>
          <w:rFonts w:hint="eastAsia"/>
        </w:rPr>
        <w:t>点击下一步进行协议签订</w:t>
      </w:r>
      <w:r>
        <w:t>。</w:t>
      </w:r>
      <w:r>
        <w:rPr>
          <w:rFonts w:hint="eastAsia"/>
        </w:rPr>
        <w:t>点击“电子</w:t>
      </w:r>
      <w:r>
        <w:t>签章</w:t>
      </w:r>
      <w:r>
        <w:rPr>
          <w:rFonts w:hint="eastAsia"/>
        </w:rPr>
        <w:t>”按钮</w:t>
      </w:r>
      <w:r>
        <w:t>，在后续跳出来的页面上</w:t>
      </w:r>
      <w:r>
        <w:rPr>
          <w:rFonts w:hint="eastAsia"/>
        </w:rPr>
        <w:t>使用交易平台CA锁</w:t>
      </w:r>
      <w:r>
        <w:t>签下公章即可。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无法显示签章页面或者</w:t>
      </w:r>
      <w:r>
        <w:rPr>
          <w:rFonts w:hint="eastAsia"/>
          <w:color w:val="FF0000"/>
        </w:rPr>
        <w:t>无法</w:t>
      </w:r>
      <w:r>
        <w:rPr>
          <w:color w:val="FF0000"/>
        </w:rPr>
        <w:t>正常签章，请</w:t>
      </w:r>
      <w:r>
        <w:rPr>
          <w:rFonts w:hint="eastAsia"/>
          <w:color w:val="FF0000"/>
        </w:rPr>
        <w:t>检查</w:t>
      </w:r>
      <w:r>
        <w:rPr>
          <w:color w:val="FF0000"/>
        </w:rPr>
        <w:t>驱动是否</w:t>
      </w:r>
      <w:r>
        <w:rPr>
          <w:rFonts w:hint="eastAsia"/>
          <w:color w:val="FF0000"/>
        </w:rPr>
        <w:t>安装</w:t>
      </w:r>
      <w:r>
        <w:rPr>
          <w:color w:val="FF0000"/>
        </w:rPr>
        <w:t>成功</w:t>
      </w:r>
      <w:r>
        <w:rPr>
          <w:rFonts w:hint="eastAsia"/>
          <w:color w:val="FF0000"/>
        </w:rPr>
        <w:t>以及</w:t>
      </w:r>
      <w:r>
        <w:rPr>
          <w:color w:val="FF0000"/>
        </w:rPr>
        <w:t>浏览器是否按照要求设置。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4310" cy="23837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</w:rPr>
      </w:pPr>
      <w:bookmarkStart w:id="35" w:name="_Toc29898"/>
      <w:r>
        <w:rPr>
          <w:rFonts w:hint="eastAsia"/>
        </w:rPr>
        <w:t>保费支付</w:t>
      </w:r>
      <w:bookmarkEnd w:id="35"/>
    </w:p>
    <w:p>
      <w:pPr>
        <w:rPr>
          <w:color w:val="FF0000"/>
        </w:rPr>
      </w:pPr>
      <w:r>
        <w:rPr>
          <w:rFonts w:hint="eastAsia"/>
        </w:rPr>
        <w:t>上述</w:t>
      </w:r>
      <w:r>
        <w:t>申请流程</w:t>
      </w:r>
      <w:r>
        <w:rPr>
          <w:rFonts w:hint="eastAsia"/>
        </w:rPr>
        <w:t>完成</w:t>
      </w:r>
      <w:r>
        <w:t>后，</w:t>
      </w:r>
      <w:r>
        <w:rPr>
          <w:rFonts w:hint="eastAsia"/>
        </w:rPr>
        <w:t>选择支付方式点击下一步</w:t>
      </w:r>
      <w:r>
        <w:t>对该保函支付</w:t>
      </w:r>
      <w:r>
        <w:rPr>
          <w:rFonts w:hint="eastAsia"/>
        </w:rPr>
        <w:t>费用</w:t>
      </w:r>
      <w:r>
        <w:t>。</w:t>
      </w:r>
    </w:p>
    <w:p>
      <w:pPr>
        <w:ind w:firstLine="0" w:firstLineChars="0"/>
        <w:rPr>
          <w:sz w:val="24"/>
        </w:rPr>
      </w:pPr>
      <w:r>
        <w:drawing>
          <wp:inline distT="0" distB="0" distL="0" distR="0">
            <wp:extent cx="5274310" cy="24638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59375" cy="3168650"/>
            <wp:effectExtent l="0" t="0" r="3175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1755" cy="31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</w:rPr>
      </w:pPr>
      <w:bookmarkStart w:id="36" w:name="_Toc12216"/>
      <w:r>
        <w:rPr>
          <w:rFonts w:hint="eastAsia"/>
        </w:rPr>
        <w:t>保函生成</w:t>
      </w:r>
      <w:bookmarkEnd w:id="36"/>
    </w:p>
    <w:p>
      <w:r>
        <w:rPr>
          <w:rFonts w:hint="eastAsia"/>
        </w:rPr>
        <w:t>支付</w:t>
      </w:r>
      <w:r>
        <w:t>完成后，电子保函自动生成</w:t>
      </w:r>
      <w:r>
        <w:rPr>
          <w:rFonts w:hint="eastAsia"/>
        </w:rPr>
        <w:t>并推送置交易平台</w:t>
      </w:r>
      <w:r>
        <w:t>，</w:t>
      </w:r>
      <w:r>
        <w:rPr>
          <w:rFonts w:hint="eastAsia"/>
        </w:rPr>
        <w:t>投标人也可以下载保函。</w:t>
      </w:r>
      <w:r>
        <w:drawing>
          <wp:inline distT="0" distB="0" distL="0" distR="0">
            <wp:extent cx="5274310" cy="3444875"/>
            <wp:effectExtent l="0" t="0" r="2540" b="3175"/>
            <wp:docPr id="3" name="图片 3" descr="C:\Users\admin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4.png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业务技术咨询：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江苏国泰新点软件有限公司</w:t>
      </w:r>
    </w:p>
    <w:p>
      <w:pPr>
        <w:rPr>
          <w:b/>
          <w:bCs/>
          <w:sz w:val="24"/>
          <w:szCs w:val="32"/>
          <w:lang w:val="en-US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咨询电话：4001538889      网址：</w:t>
      </w:r>
      <w:r>
        <w:rPr>
          <w:rFonts w:hint="eastAsia"/>
          <w:b/>
          <w:bCs/>
          <w:sz w:val="24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32"/>
          <w:lang w:val="en-US" w:eastAsia="zh-CN"/>
        </w:rPr>
        <w:instrText xml:space="preserve"> HYPERLINK "http://www.epoint.com.cn" </w:instrText>
      </w:r>
      <w:r>
        <w:rPr>
          <w:rFonts w:hint="eastAsia"/>
          <w:b/>
          <w:bCs/>
          <w:sz w:val="24"/>
          <w:szCs w:val="32"/>
          <w:lang w:val="en-US" w:eastAsia="zh-CN"/>
        </w:rPr>
        <w:fldChar w:fldCharType="separate"/>
      </w:r>
      <w:r>
        <w:rPr>
          <w:rStyle w:val="14"/>
          <w:rFonts w:hint="eastAsia"/>
          <w:b/>
          <w:bCs/>
          <w:sz w:val="24"/>
          <w:szCs w:val="32"/>
          <w:lang w:val="en-US" w:eastAsia="zh-CN"/>
        </w:rPr>
        <w:t>http://www.epoint.com.cn</w:t>
      </w:r>
      <w:r>
        <w:rPr>
          <w:rFonts w:hint="eastAsia"/>
          <w:b/>
          <w:bCs/>
          <w:sz w:val="24"/>
          <w:szCs w:val="32"/>
          <w:lang w:val="en-US" w:eastAsia="zh-CN"/>
        </w:rPr>
        <w:fldChar w:fldCharType="end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3CDB"/>
    <w:multiLevelType w:val="multilevel"/>
    <w:tmpl w:val="0B363CDB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A1"/>
    <w:rsid w:val="00070478"/>
    <w:rsid w:val="000A0CD8"/>
    <w:rsid w:val="000C0A90"/>
    <w:rsid w:val="000D2347"/>
    <w:rsid w:val="001032A1"/>
    <w:rsid w:val="001150B7"/>
    <w:rsid w:val="00165621"/>
    <w:rsid w:val="001B55C4"/>
    <w:rsid w:val="001D47A1"/>
    <w:rsid w:val="001E58C2"/>
    <w:rsid w:val="002851A1"/>
    <w:rsid w:val="0029262E"/>
    <w:rsid w:val="003A3418"/>
    <w:rsid w:val="003D58A9"/>
    <w:rsid w:val="003F0446"/>
    <w:rsid w:val="00437A4E"/>
    <w:rsid w:val="004437AE"/>
    <w:rsid w:val="00454CA8"/>
    <w:rsid w:val="00460ACE"/>
    <w:rsid w:val="004D302F"/>
    <w:rsid w:val="005951E8"/>
    <w:rsid w:val="00670A7A"/>
    <w:rsid w:val="007439AA"/>
    <w:rsid w:val="0078599F"/>
    <w:rsid w:val="00807A67"/>
    <w:rsid w:val="008418CF"/>
    <w:rsid w:val="00861998"/>
    <w:rsid w:val="008E496E"/>
    <w:rsid w:val="0098291F"/>
    <w:rsid w:val="00A00014"/>
    <w:rsid w:val="00A0153D"/>
    <w:rsid w:val="00A60912"/>
    <w:rsid w:val="00A60E83"/>
    <w:rsid w:val="00AB26E2"/>
    <w:rsid w:val="00AB79E2"/>
    <w:rsid w:val="00B02DEB"/>
    <w:rsid w:val="00B35B52"/>
    <w:rsid w:val="00CC623B"/>
    <w:rsid w:val="00D37FBC"/>
    <w:rsid w:val="00D64523"/>
    <w:rsid w:val="00DC4A3F"/>
    <w:rsid w:val="00E9770B"/>
    <w:rsid w:val="00F51C44"/>
    <w:rsid w:val="00F934ED"/>
    <w:rsid w:val="00FE0136"/>
    <w:rsid w:val="01234FA2"/>
    <w:rsid w:val="019B14DA"/>
    <w:rsid w:val="01C66C73"/>
    <w:rsid w:val="020607DE"/>
    <w:rsid w:val="025751E9"/>
    <w:rsid w:val="02776CE3"/>
    <w:rsid w:val="02CA31F8"/>
    <w:rsid w:val="0336760E"/>
    <w:rsid w:val="035102A9"/>
    <w:rsid w:val="03610E7A"/>
    <w:rsid w:val="036266F7"/>
    <w:rsid w:val="03FF36AD"/>
    <w:rsid w:val="045C1E34"/>
    <w:rsid w:val="046F2081"/>
    <w:rsid w:val="05223B55"/>
    <w:rsid w:val="05606153"/>
    <w:rsid w:val="056E1AED"/>
    <w:rsid w:val="062715DD"/>
    <w:rsid w:val="06382A34"/>
    <w:rsid w:val="068E2F6E"/>
    <w:rsid w:val="06F90373"/>
    <w:rsid w:val="07B25156"/>
    <w:rsid w:val="07D23A36"/>
    <w:rsid w:val="07EA7189"/>
    <w:rsid w:val="07F74E09"/>
    <w:rsid w:val="08351D86"/>
    <w:rsid w:val="08CE2C09"/>
    <w:rsid w:val="099832C5"/>
    <w:rsid w:val="09A2305B"/>
    <w:rsid w:val="09E869F3"/>
    <w:rsid w:val="09F26927"/>
    <w:rsid w:val="0A026859"/>
    <w:rsid w:val="0A0330CE"/>
    <w:rsid w:val="0A822A1F"/>
    <w:rsid w:val="0AAE3C98"/>
    <w:rsid w:val="0B2F3DAE"/>
    <w:rsid w:val="0B3F1D02"/>
    <w:rsid w:val="0B49732E"/>
    <w:rsid w:val="0B65128B"/>
    <w:rsid w:val="0B7B1635"/>
    <w:rsid w:val="0C052C56"/>
    <w:rsid w:val="0C0D67D1"/>
    <w:rsid w:val="0C43205E"/>
    <w:rsid w:val="0C6D104E"/>
    <w:rsid w:val="0C943A24"/>
    <w:rsid w:val="0CBC44D7"/>
    <w:rsid w:val="0CEA6D84"/>
    <w:rsid w:val="0D1637A7"/>
    <w:rsid w:val="0D79342D"/>
    <w:rsid w:val="0E544AB7"/>
    <w:rsid w:val="0E816F42"/>
    <w:rsid w:val="0F5B6CBB"/>
    <w:rsid w:val="0F6A6825"/>
    <w:rsid w:val="0FEB21AC"/>
    <w:rsid w:val="100D0B75"/>
    <w:rsid w:val="101D05B4"/>
    <w:rsid w:val="10AD2DF3"/>
    <w:rsid w:val="10FD7EEB"/>
    <w:rsid w:val="11023A9D"/>
    <w:rsid w:val="11365242"/>
    <w:rsid w:val="113B4736"/>
    <w:rsid w:val="12367275"/>
    <w:rsid w:val="128D640F"/>
    <w:rsid w:val="12FF1D59"/>
    <w:rsid w:val="132042E2"/>
    <w:rsid w:val="137064AC"/>
    <w:rsid w:val="13B74C2B"/>
    <w:rsid w:val="13BB0498"/>
    <w:rsid w:val="13D62095"/>
    <w:rsid w:val="13DB0FF3"/>
    <w:rsid w:val="143E34F2"/>
    <w:rsid w:val="14551415"/>
    <w:rsid w:val="14813BA0"/>
    <w:rsid w:val="14C1683B"/>
    <w:rsid w:val="14C3439C"/>
    <w:rsid w:val="158B6011"/>
    <w:rsid w:val="15F24B6B"/>
    <w:rsid w:val="1621375B"/>
    <w:rsid w:val="16676734"/>
    <w:rsid w:val="16D05CBB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D3439"/>
    <w:rsid w:val="1AD61F69"/>
    <w:rsid w:val="1AFF2500"/>
    <w:rsid w:val="1B2250C2"/>
    <w:rsid w:val="1B371DA8"/>
    <w:rsid w:val="1B8C0B60"/>
    <w:rsid w:val="1BAA1245"/>
    <w:rsid w:val="1BCE0555"/>
    <w:rsid w:val="1C067B59"/>
    <w:rsid w:val="1C0C78FE"/>
    <w:rsid w:val="1C0F3933"/>
    <w:rsid w:val="1C866E9C"/>
    <w:rsid w:val="1CDD02E5"/>
    <w:rsid w:val="1CE32E1B"/>
    <w:rsid w:val="1DB1420A"/>
    <w:rsid w:val="1DCB7276"/>
    <w:rsid w:val="1DE10257"/>
    <w:rsid w:val="1DE81131"/>
    <w:rsid w:val="1E266437"/>
    <w:rsid w:val="1F513DE3"/>
    <w:rsid w:val="209835ED"/>
    <w:rsid w:val="20B40647"/>
    <w:rsid w:val="20BE59EF"/>
    <w:rsid w:val="212913B6"/>
    <w:rsid w:val="21B61D78"/>
    <w:rsid w:val="21ED7F9B"/>
    <w:rsid w:val="22B97B62"/>
    <w:rsid w:val="22FA4707"/>
    <w:rsid w:val="230D4ACE"/>
    <w:rsid w:val="23E53B09"/>
    <w:rsid w:val="24331B6B"/>
    <w:rsid w:val="245F0279"/>
    <w:rsid w:val="24B31C89"/>
    <w:rsid w:val="25004E56"/>
    <w:rsid w:val="25491D80"/>
    <w:rsid w:val="25AA130C"/>
    <w:rsid w:val="26002BFF"/>
    <w:rsid w:val="263927CF"/>
    <w:rsid w:val="26583170"/>
    <w:rsid w:val="266C03AF"/>
    <w:rsid w:val="26CD0F49"/>
    <w:rsid w:val="2714543F"/>
    <w:rsid w:val="27674AAB"/>
    <w:rsid w:val="27AC0A3D"/>
    <w:rsid w:val="27AF61AB"/>
    <w:rsid w:val="27C6754A"/>
    <w:rsid w:val="29141158"/>
    <w:rsid w:val="29232DF0"/>
    <w:rsid w:val="294D4496"/>
    <w:rsid w:val="2A2D5DBD"/>
    <w:rsid w:val="2A673421"/>
    <w:rsid w:val="2A6B4E8D"/>
    <w:rsid w:val="2A831D40"/>
    <w:rsid w:val="2A950AF7"/>
    <w:rsid w:val="2AA07A66"/>
    <w:rsid w:val="2ACA7549"/>
    <w:rsid w:val="2B1F03DA"/>
    <w:rsid w:val="2B3D7BBD"/>
    <w:rsid w:val="2C024719"/>
    <w:rsid w:val="2C645B59"/>
    <w:rsid w:val="2C683230"/>
    <w:rsid w:val="2D030EDE"/>
    <w:rsid w:val="2D41077E"/>
    <w:rsid w:val="2D687F33"/>
    <w:rsid w:val="2D9E58E9"/>
    <w:rsid w:val="2DC96AD9"/>
    <w:rsid w:val="2E1C440C"/>
    <w:rsid w:val="2E2C50E4"/>
    <w:rsid w:val="2E392CAA"/>
    <w:rsid w:val="2E5E2491"/>
    <w:rsid w:val="2EC76378"/>
    <w:rsid w:val="2F123539"/>
    <w:rsid w:val="2F971630"/>
    <w:rsid w:val="2FC62485"/>
    <w:rsid w:val="301B72F6"/>
    <w:rsid w:val="302926C9"/>
    <w:rsid w:val="30BF286A"/>
    <w:rsid w:val="30D1272F"/>
    <w:rsid w:val="313E22AF"/>
    <w:rsid w:val="31BA2A4B"/>
    <w:rsid w:val="31DA609B"/>
    <w:rsid w:val="32183062"/>
    <w:rsid w:val="32460E96"/>
    <w:rsid w:val="3261127C"/>
    <w:rsid w:val="32712264"/>
    <w:rsid w:val="32AB340D"/>
    <w:rsid w:val="32C05570"/>
    <w:rsid w:val="32DF0DBA"/>
    <w:rsid w:val="32E346BF"/>
    <w:rsid w:val="331F3604"/>
    <w:rsid w:val="34D01DFE"/>
    <w:rsid w:val="35753CCB"/>
    <w:rsid w:val="35D63B5B"/>
    <w:rsid w:val="35D960CB"/>
    <w:rsid w:val="36111ED4"/>
    <w:rsid w:val="363C2D71"/>
    <w:rsid w:val="36D82E65"/>
    <w:rsid w:val="36FC07B2"/>
    <w:rsid w:val="373057DF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5A3846"/>
    <w:rsid w:val="398D64DA"/>
    <w:rsid w:val="399B7668"/>
    <w:rsid w:val="39DE513A"/>
    <w:rsid w:val="3ACC7331"/>
    <w:rsid w:val="3B1C3BC3"/>
    <w:rsid w:val="3B31090C"/>
    <w:rsid w:val="3BA060E8"/>
    <w:rsid w:val="3C090159"/>
    <w:rsid w:val="3C491076"/>
    <w:rsid w:val="3C5E67DE"/>
    <w:rsid w:val="3CCE416F"/>
    <w:rsid w:val="3CD532D9"/>
    <w:rsid w:val="3CEE641C"/>
    <w:rsid w:val="3DC257F4"/>
    <w:rsid w:val="3DD325FD"/>
    <w:rsid w:val="3DF84115"/>
    <w:rsid w:val="3E36211E"/>
    <w:rsid w:val="3E9C7C4C"/>
    <w:rsid w:val="3EAA4013"/>
    <w:rsid w:val="3F041A1C"/>
    <w:rsid w:val="3F5B281F"/>
    <w:rsid w:val="3F861A73"/>
    <w:rsid w:val="3F94562E"/>
    <w:rsid w:val="3FC87068"/>
    <w:rsid w:val="3FD569A4"/>
    <w:rsid w:val="3FF65866"/>
    <w:rsid w:val="40715247"/>
    <w:rsid w:val="40AE1D79"/>
    <w:rsid w:val="412C11FB"/>
    <w:rsid w:val="422A6912"/>
    <w:rsid w:val="429937DB"/>
    <w:rsid w:val="42FE464E"/>
    <w:rsid w:val="43333C76"/>
    <w:rsid w:val="433B75D3"/>
    <w:rsid w:val="434D7A62"/>
    <w:rsid w:val="43591BE7"/>
    <w:rsid w:val="439C23C0"/>
    <w:rsid w:val="44186EBC"/>
    <w:rsid w:val="44790767"/>
    <w:rsid w:val="44CC35F4"/>
    <w:rsid w:val="45EE003D"/>
    <w:rsid w:val="460249B5"/>
    <w:rsid w:val="46272A1F"/>
    <w:rsid w:val="464056DE"/>
    <w:rsid w:val="46982CA0"/>
    <w:rsid w:val="46C02823"/>
    <w:rsid w:val="46C115B5"/>
    <w:rsid w:val="4700463F"/>
    <w:rsid w:val="47042F70"/>
    <w:rsid w:val="473D7756"/>
    <w:rsid w:val="473F59F6"/>
    <w:rsid w:val="47B43697"/>
    <w:rsid w:val="480A06F3"/>
    <w:rsid w:val="487C58BB"/>
    <w:rsid w:val="48823EB1"/>
    <w:rsid w:val="48B239D7"/>
    <w:rsid w:val="48BC1BC5"/>
    <w:rsid w:val="494E3E01"/>
    <w:rsid w:val="49DD7880"/>
    <w:rsid w:val="4A002898"/>
    <w:rsid w:val="4A8E6AA3"/>
    <w:rsid w:val="4AD427B1"/>
    <w:rsid w:val="4B4E000B"/>
    <w:rsid w:val="4C113459"/>
    <w:rsid w:val="4C2749B6"/>
    <w:rsid w:val="4C534D73"/>
    <w:rsid w:val="4C9322A2"/>
    <w:rsid w:val="4CCA1178"/>
    <w:rsid w:val="4CE237A9"/>
    <w:rsid w:val="4CF16FBF"/>
    <w:rsid w:val="4CF66875"/>
    <w:rsid w:val="4D0573A2"/>
    <w:rsid w:val="4EBC217E"/>
    <w:rsid w:val="4ED50883"/>
    <w:rsid w:val="4EF43AEA"/>
    <w:rsid w:val="4F0E3727"/>
    <w:rsid w:val="50030556"/>
    <w:rsid w:val="5008758F"/>
    <w:rsid w:val="50606065"/>
    <w:rsid w:val="50F10951"/>
    <w:rsid w:val="51453C2F"/>
    <w:rsid w:val="51461BED"/>
    <w:rsid w:val="515151DC"/>
    <w:rsid w:val="5152517D"/>
    <w:rsid w:val="515E425A"/>
    <w:rsid w:val="51663313"/>
    <w:rsid w:val="51C74473"/>
    <w:rsid w:val="529D1F83"/>
    <w:rsid w:val="52FB2E29"/>
    <w:rsid w:val="531A2BE5"/>
    <w:rsid w:val="538C532C"/>
    <w:rsid w:val="53DF178B"/>
    <w:rsid w:val="54C5090E"/>
    <w:rsid w:val="54E034A9"/>
    <w:rsid w:val="54EA43DF"/>
    <w:rsid w:val="55596642"/>
    <w:rsid w:val="55CB258C"/>
    <w:rsid w:val="561428C5"/>
    <w:rsid w:val="5670396D"/>
    <w:rsid w:val="57684BE6"/>
    <w:rsid w:val="57793E53"/>
    <w:rsid w:val="57816111"/>
    <w:rsid w:val="57D411E0"/>
    <w:rsid w:val="580E1CFE"/>
    <w:rsid w:val="582575F2"/>
    <w:rsid w:val="5918091C"/>
    <w:rsid w:val="59771E3D"/>
    <w:rsid w:val="5A276A0F"/>
    <w:rsid w:val="5A350E61"/>
    <w:rsid w:val="5A4C294A"/>
    <w:rsid w:val="5ADF17FA"/>
    <w:rsid w:val="5AF86B50"/>
    <w:rsid w:val="5B701F6D"/>
    <w:rsid w:val="5C4A7C2E"/>
    <w:rsid w:val="5C6F4F4F"/>
    <w:rsid w:val="5C771A0D"/>
    <w:rsid w:val="5CD73231"/>
    <w:rsid w:val="5DB6564B"/>
    <w:rsid w:val="5E191B29"/>
    <w:rsid w:val="5E314733"/>
    <w:rsid w:val="5E4612F1"/>
    <w:rsid w:val="5F2C1650"/>
    <w:rsid w:val="5F2D7A30"/>
    <w:rsid w:val="5F4130B8"/>
    <w:rsid w:val="5F775A6D"/>
    <w:rsid w:val="5F7D340C"/>
    <w:rsid w:val="5FC36960"/>
    <w:rsid w:val="5FD711F2"/>
    <w:rsid w:val="6014227F"/>
    <w:rsid w:val="604870E5"/>
    <w:rsid w:val="60585BA4"/>
    <w:rsid w:val="60C54C59"/>
    <w:rsid w:val="60D208DF"/>
    <w:rsid w:val="61367191"/>
    <w:rsid w:val="613949F4"/>
    <w:rsid w:val="618056ED"/>
    <w:rsid w:val="63320005"/>
    <w:rsid w:val="637C0089"/>
    <w:rsid w:val="63D2023D"/>
    <w:rsid w:val="641A5E5E"/>
    <w:rsid w:val="641A5F6F"/>
    <w:rsid w:val="64A91A47"/>
    <w:rsid w:val="64E362C2"/>
    <w:rsid w:val="6528785E"/>
    <w:rsid w:val="657C778C"/>
    <w:rsid w:val="65F00A05"/>
    <w:rsid w:val="660A31A3"/>
    <w:rsid w:val="66237CDF"/>
    <w:rsid w:val="668D1EAD"/>
    <w:rsid w:val="66B21D03"/>
    <w:rsid w:val="66CA4486"/>
    <w:rsid w:val="67394D3D"/>
    <w:rsid w:val="67587747"/>
    <w:rsid w:val="67E0317C"/>
    <w:rsid w:val="681E57BC"/>
    <w:rsid w:val="6830018C"/>
    <w:rsid w:val="68496C3D"/>
    <w:rsid w:val="68586660"/>
    <w:rsid w:val="687F51D8"/>
    <w:rsid w:val="6979237F"/>
    <w:rsid w:val="69B57B91"/>
    <w:rsid w:val="69DD0BB7"/>
    <w:rsid w:val="6A8272A0"/>
    <w:rsid w:val="6B1F7304"/>
    <w:rsid w:val="6B324AC6"/>
    <w:rsid w:val="6BB01935"/>
    <w:rsid w:val="6BB7162D"/>
    <w:rsid w:val="6BDB744E"/>
    <w:rsid w:val="6C442812"/>
    <w:rsid w:val="6C5242AD"/>
    <w:rsid w:val="6CFD6301"/>
    <w:rsid w:val="6D0B3137"/>
    <w:rsid w:val="6E187B1D"/>
    <w:rsid w:val="6EB42D11"/>
    <w:rsid w:val="6EC120B0"/>
    <w:rsid w:val="6ED150C6"/>
    <w:rsid w:val="6F5A613F"/>
    <w:rsid w:val="6F883019"/>
    <w:rsid w:val="6FA42945"/>
    <w:rsid w:val="6FD7537A"/>
    <w:rsid w:val="70110709"/>
    <w:rsid w:val="701518C7"/>
    <w:rsid w:val="704D6FD3"/>
    <w:rsid w:val="70DF5A31"/>
    <w:rsid w:val="70ED018E"/>
    <w:rsid w:val="70FF3B97"/>
    <w:rsid w:val="71572056"/>
    <w:rsid w:val="717752F4"/>
    <w:rsid w:val="718166AD"/>
    <w:rsid w:val="71BA1F61"/>
    <w:rsid w:val="71DD04F6"/>
    <w:rsid w:val="71FD35E8"/>
    <w:rsid w:val="72366D03"/>
    <w:rsid w:val="723928CE"/>
    <w:rsid w:val="725554A1"/>
    <w:rsid w:val="72D72856"/>
    <w:rsid w:val="734C5AE0"/>
    <w:rsid w:val="73BC1844"/>
    <w:rsid w:val="74103305"/>
    <w:rsid w:val="74382D6C"/>
    <w:rsid w:val="74DB7694"/>
    <w:rsid w:val="750824AA"/>
    <w:rsid w:val="75177560"/>
    <w:rsid w:val="7584461A"/>
    <w:rsid w:val="75EC58A6"/>
    <w:rsid w:val="760A0324"/>
    <w:rsid w:val="76DC7164"/>
    <w:rsid w:val="777E78D7"/>
    <w:rsid w:val="77FD4709"/>
    <w:rsid w:val="78527701"/>
    <w:rsid w:val="78615CFA"/>
    <w:rsid w:val="78935A08"/>
    <w:rsid w:val="78B80B4F"/>
    <w:rsid w:val="794D5C13"/>
    <w:rsid w:val="7961229D"/>
    <w:rsid w:val="7970708F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C3133CB"/>
    <w:rsid w:val="7C956D0F"/>
    <w:rsid w:val="7CEF1EF8"/>
    <w:rsid w:val="7D1A0A23"/>
    <w:rsid w:val="7D245C6D"/>
    <w:rsid w:val="7D2A172F"/>
    <w:rsid w:val="7D906BA0"/>
    <w:rsid w:val="7DF33C9C"/>
    <w:rsid w:val="7DF95E23"/>
    <w:rsid w:val="7E0943AB"/>
    <w:rsid w:val="7E3570AD"/>
    <w:rsid w:val="7E5455D0"/>
    <w:rsid w:val="7EB87930"/>
    <w:rsid w:val="7EE2050E"/>
    <w:rsid w:val="7EE25AB5"/>
    <w:rsid w:val="7F78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9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FollowedHyperlink"/>
    <w:basedOn w:val="13"/>
    <w:semiHidden/>
    <w:unhideWhenUsed/>
    <w:qFormat/>
    <w:uiPriority w:val="99"/>
    <w:rPr>
      <w:color w:val="800080"/>
      <w:u w:val="single"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7">
    <w:name w:val="Table Grid"/>
    <w:basedOn w:val="16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8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13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2">
    <w:name w:val="标题 3 字符"/>
    <w:basedOn w:val="13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3">
    <w:name w:val="标题 4 字符"/>
    <w:basedOn w:val="13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4">
    <w:name w:val="标题 5 字符"/>
    <w:basedOn w:val="13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25">
    <w:name w:val="列出段落1"/>
    <w:basedOn w:val="1"/>
    <w:qFormat/>
    <w:uiPriority w:val="34"/>
  </w:style>
  <w:style w:type="paragraph" w:customStyle="1" w:styleId="26">
    <w:name w:val="2"/>
    <w:basedOn w:val="1"/>
    <w:link w:val="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27">
    <w:name w:val="2 Char"/>
    <w:basedOn w:val="13"/>
    <w:link w:val="26"/>
    <w:qFormat/>
    <w:uiPriority w:val="0"/>
    <w:rPr>
      <w:rFonts w:ascii="Times New Roman" w:hAnsi="Times New Roman" w:eastAsia="宋体" w:cs="Times New Roman"/>
      <w:spacing w:val="4"/>
      <w:szCs w:val="24"/>
    </w:rPr>
  </w:style>
  <w:style w:type="paragraph" w:styleId="28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29">
    <w:name w:val="批注框文本 字符"/>
    <w:basedOn w:val="13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0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1">
    <w:name w:val="1"/>
    <w:basedOn w:val="1"/>
    <w:link w:val="32"/>
    <w:qFormat/>
    <w:uiPriority w:val="0"/>
    <w:pPr>
      <w:ind w:firstLine="0" w:firstLineChars="0"/>
    </w:pPr>
  </w:style>
  <w:style w:type="character" w:customStyle="1" w:styleId="32">
    <w:name w:val="1 Char"/>
    <w:basedOn w:val="13"/>
    <w:link w:val="3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90D637-59D7-45FA-ADB2-9DD4252EA3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332</Words>
  <Characters>1896</Characters>
  <Lines>15</Lines>
  <Paragraphs>4</Paragraphs>
  <TotalTime>7</TotalTime>
  <ScaleCrop>false</ScaleCrop>
  <LinksUpToDate>false</LinksUpToDate>
  <CharactersWithSpaces>2224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2016-11-14T08:27:00Z</dcterms:created>
  <dc:creator>chenyj</dc:creator>
  <cp:lastModifiedBy>J.jia</cp:lastModifiedBy>
  <dcterms:modified xsi:type="dcterms:W3CDTF">2018-10-29T01:01:29Z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